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F06403">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06403">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F0640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proofErr w:type="spellStart"/>
      <w:r>
        <w:rPr>
          <w:iCs/>
        </w:rPr>
        <w:t>Гейдешмана</w:t>
      </w:r>
      <w:proofErr w:type="spellEnd"/>
      <w:r>
        <w:rPr>
          <w:iCs/>
        </w:rPr>
        <w:t xml:space="preserve"> Евгения Семеновича</w:t>
      </w:r>
      <w:r w:rsidRPr="009A4B10">
        <w:rPr>
          <w:iCs/>
        </w:rPr>
        <w:t xml:space="preserve">, действующего на основании </w:t>
      </w:r>
      <w:r>
        <w:rPr>
          <w:iCs/>
        </w:rPr>
        <w:t>Устава</w:t>
      </w:r>
      <w:r w:rsidR="00A7653F" w:rsidRPr="004B2AED">
        <w:rPr>
          <w:rStyle w:val="normaltextrun"/>
        </w:rPr>
        <w:t xml:space="preserve">, с одной стороны, </w:t>
      </w:r>
    </w:p>
    <w:p w:rsidR="00A7653F" w:rsidRPr="004B2AED" w:rsidRDefault="00A7653F" w:rsidP="00F0640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F06403">
      <w:pPr>
        <w:pStyle w:val="paragraph"/>
        <w:spacing w:before="0" w:beforeAutospacing="0" w:after="0" w:afterAutospacing="0"/>
        <w:ind w:firstLine="709"/>
        <w:jc w:val="both"/>
        <w:textAlignment w:val="baseline"/>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F0640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F06403">
        <w:t xml:space="preserve"> </w:t>
      </w:r>
      <w:r w:rsidR="00F06403" w:rsidRPr="00AB1704">
        <w:rPr>
          <w:bCs/>
        </w:rPr>
        <w:t>заправке</w:t>
      </w:r>
      <w:r w:rsidR="00F06403">
        <w:rPr>
          <w:bCs/>
        </w:rPr>
        <w:t xml:space="preserve"> и восстановлению (</w:t>
      </w:r>
      <w:proofErr w:type="spellStart"/>
      <w:r w:rsidR="00F06403">
        <w:rPr>
          <w:bCs/>
        </w:rPr>
        <w:t>запровка+ремонт</w:t>
      </w:r>
      <w:proofErr w:type="spellEnd"/>
      <w:r w:rsidR="00F06403">
        <w:rPr>
          <w:bCs/>
        </w:rPr>
        <w:t>)</w:t>
      </w:r>
      <w:r w:rsidR="00F06403" w:rsidRPr="00AB1704">
        <w:rPr>
          <w:bCs/>
        </w:rPr>
        <w:t xml:space="preserve"> картриджей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F06403">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895BD1" w:rsidP="00F06403">
      <w:pPr>
        <w:pStyle w:val="a5"/>
        <w:spacing w:after="0"/>
        <w:ind w:firstLine="709"/>
        <w:jc w:val="both"/>
        <w:rPr>
          <w:i/>
          <w:u w:val="single"/>
        </w:rPr>
      </w:pPr>
      <w:proofErr w:type="gramStart"/>
      <w:r w:rsidRPr="00025818">
        <w:t>Вывоз</w:t>
      </w:r>
      <w:r w:rsidRPr="00D80E80">
        <w:t xml:space="preserve"> картриджей, подлежащих заправке и восстановлению, осуществляется из структурных подразделений Заказчика, расположенных по адресам: </w:t>
      </w:r>
      <w:r w:rsidRPr="00D80E80">
        <w:rPr>
          <w:bCs/>
        </w:rPr>
        <w:t>г. Самара, ул. Г.С. Аксакова,13, г. Самара, ул. Ново-Садовая, 222Б, г. Самара, Агибалова,12.</w:t>
      </w:r>
      <w:proofErr w:type="gramEnd"/>
      <w:r>
        <w:rPr>
          <w:bCs/>
        </w:rPr>
        <w:t xml:space="preserve"> </w:t>
      </w:r>
      <w:r w:rsidRPr="00D80E80">
        <w:t>Доставка картриджей из структурных подразделений Заказчика до места оказания услуг и обратно осуществляется транспортом Исполнителя</w:t>
      </w:r>
    </w:p>
    <w:p w:rsidR="00A7653F" w:rsidRPr="004B2AED" w:rsidRDefault="00A7653F" w:rsidP="00F06403">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F0640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F0640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F0640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F0640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F0640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F06403">
      <w:pPr>
        <w:spacing w:after="0" w:line="240" w:lineRule="auto"/>
        <w:ind w:firstLine="709"/>
        <w:rPr>
          <w:rFonts w:ascii="Times New Roman" w:hAnsi="Times New Roman"/>
          <w:sz w:val="24"/>
          <w:szCs w:val="24"/>
        </w:rPr>
      </w:pPr>
    </w:p>
    <w:p w:rsidR="00A7653F" w:rsidRPr="004B2AED" w:rsidRDefault="00A7653F" w:rsidP="00F0640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F06403">
      <w:pPr>
        <w:pStyle w:val="af1"/>
      </w:pPr>
    </w:p>
    <w:p w:rsidR="00A7653F" w:rsidRPr="00A064B7" w:rsidRDefault="00A7653F" w:rsidP="00F0640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F0640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F0640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0BE" w:rsidRPr="004F10BE" w:rsidRDefault="004F10BE" w:rsidP="00F06403">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4F10BE">
        <w:t xml:space="preserve">3.2.1. </w:t>
      </w:r>
      <w:proofErr w:type="gramStart"/>
      <w:r w:rsidRPr="004F10BE">
        <w:t xml:space="preserve">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(шестидесяти) дней с даты подписания Сторонами Акта сдачи-приемки оказанных услуг, при условии получения Заказчиком оригинального комплекта </w:t>
      </w:r>
      <w:r w:rsidRPr="004F10BE">
        <w:lastRenderedPageBreak/>
        <w:t xml:space="preserve">документов, подписанного со стороны Исполнителя: счета на оплату, Актов сдачи-приемки оказанных Услуг (2 экз.), </w:t>
      </w:r>
      <w:r w:rsidRPr="004F10BE">
        <w:rPr>
          <w:u w:val="single"/>
        </w:rPr>
        <w:t>счета-фактуры.</w:t>
      </w:r>
      <w:proofErr w:type="gramEnd"/>
    </w:p>
    <w:p w:rsidR="00A7653F" w:rsidRPr="004B2AED" w:rsidRDefault="00A7653F" w:rsidP="00F0640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F0640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6C0F80">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F0640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F0640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F0640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F0640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F06403">
      <w:pPr>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F0640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F0640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F0640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F0640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F0640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F0640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F0640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F0640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F0640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F0640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F06403">
      <w:pPr>
        <w:pStyle w:val="1"/>
        <w:keepNext w:val="0"/>
        <w:spacing w:before="0" w:after="0"/>
        <w:ind w:firstLine="709"/>
        <w:jc w:val="center"/>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w:t>
      </w:r>
      <w:r w:rsidRPr="004B2AED">
        <w:rPr>
          <w:rFonts w:ascii="Times New Roman" w:hAnsi="Times New Roman"/>
          <w:sz w:val="24"/>
          <w:szCs w:val="24"/>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F06403">
      <w:pPr>
        <w:pStyle w:val="2"/>
        <w:tabs>
          <w:tab w:val="left" w:pos="567"/>
        </w:tabs>
        <w:spacing w:after="0" w:line="240" w:lineRule="auto"/>
        <w:ind w:firstLine="709"/>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F06403">
      <w:pPr>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F0640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F06403">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F0640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F06403">
      <w:pPr>
        <w:pStyle w:val="a9"/>
        <w:tabs>
          <w:tab w:val="left" w:pos="567"/>
        </w:tabs>
        <w:ind w:firstLine="709"/>
        <w:jc w:val="both"/>
        <w:rPr>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F0640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F0640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F0640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F0640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F0640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F0640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F0640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F0640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F06403">
      <w:pPr>
        <w:pStyle w:val="a5"/>
        <w:spacing w:after="0"/>
        <w:ind w:firstLine="709"/>
        <w:jc w:val="both"/>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F0640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F06403">
      <w:pPr>
        <w:pStyle w:val="1"/>
        <w:spacing w:before="0" w:after="0"/>
        <w:ind w:firstLine="709"/>
        <w:jc w:val="center"/>
        <w:rPr>
          <w:rFonts w:ascii="Times New Roman" w:hAnsi="Times New Roman"/>
          <w:sz w:val="24"/>
          <w:szCs w:val="24"/>
        </w:rPr>
      </w:pPr>
    </w:p>
    <w:p w:rsidR="00A7653F" w:rsidRPr="004B2AED" w:rsidRDefault="00A7653F" w:rsidP="00F0640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F0640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F0640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F0640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F0640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F0640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F06403">
      <w:pPr>
        <w:pStyle w:val="a5"/>
        <w:spacing w:after="0"/>
        <w:ind w:firstLine="709"/>
        <w:jc w:val="both"/>
      </w:pPr>
    </w:p>
    <w:p w:rsidR="00A7653F" w:rsidRPr="004B2AED" w:rsidRDefault="00A7653F" w:rsidP="00F0640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F0640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13.2. Все вопросы, не урегулированные </w:t>
      </w:r>
      <w:r w:rsidRPr="004B2AED">
        <w:lastRenderedPageBreak/>
        <w:t>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F0640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F0640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F06403">
      <w:pPr>
        <w:pStyle w:val="a5"/>
        <w:tabs>
          <w:tab w:val="left" w:pos="-6804"/>
        </w:tabs>
        <w:spacing w:after="0"/>
        <w:ind w:firstLine="709"/>
        <w:jc w:val="center"/>
        <w:rPr>
          <w:b/>
        </w:rPr>
      </w:pPr>
    </w:p>
    <w:p w:rsidR="00A7653F" w:rsidRPr="004B2AED" w:rsidRDefault="00A7653F" w:rsidP="00F06403">
      <w:pPr>
        <w:pStyle w:val="a5"/>
        <w:tabs>
          <w:tab w:val="left" w:pos="-6804"/>
        </w:tabs>
        <w:spacing w:after="0"/>
        <w:ind w:firstLine="709"/>
        <w:jc w:val="center"/>
        <w:rPr>
          <w:b/>
        </w:rPr>
      </w:pPr>
      <w:r w:rsidRPr="004B2AED">
        <w:rPr>
          <w:b/>
        </w:rPr>
        <w:t>14. Налоговая оговорка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F0640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F0640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F0640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F0640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F0640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F0640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F0640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F0640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F0640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F0640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F0640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F0640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C964C5">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C964C5">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C964C5">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C964C5">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C964C5">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0F1AEB">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0F1AEB">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0F1AEB">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C964C5" w:rsidRDefault="00C964C5" w:rsidP="000F1AEB">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0F1AE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964C5" w:rsidRPr="004B2AED" w:rsidRDefault="00C964C5"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Default="00F06403" w:rsidP="00C964C5">
      <w:pPr>
        <w:pStyle w:val="1"/>
        <w:spacing w:before="0" w:after="0" w:line="360" w:lineRule="exact"/>
        <w:ind w:left="1702" w:firstLine="709"/>
        <w:jc w:val="both"/>
        <w:rPr>
          <w:rFonts w:ascii="Times New Roman" w:hAnsi="Times New Roman"/>
          <w:sz w:val="24"/>
          <w:szCs w:val="24"/>
        </w:rPr>
      </w:pPr>
    </w:p>
    <w:p w:rsidR="00F06403" w:rsidRPr="00F06403" w:rsidRDefault="00F06403" w:rsidP="00F06403"/>
    <w:p w:rsidR="00A7653F" w:rsidRPr="004B2AED"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lastRenderedPageBreak/>
        <w:t xml:space="preserve">                      </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95BD1">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F06403">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895BD1" w:rsidRDefault="00A7653F" w:rsidP="000F1AEB">
            <w:pPr>
              <w:spacing w:after="0" w:line="360" w:lineRule="exact"/>
              <w:ind w:left="-108"/>
              <w:jc w:val="center"/>
              <w:rPr>
                <w:rFonts w:ascii="Times New Roman" w:hAnsi="Times New Roman"/>
                <w:b/>
                <w:sz w:val="24"/>
                <w:szCs w:val="24"/>
                <w:lang w:val="en-US"/>
              </w:rPr>
            </w:pPr>
            <w:r w:rsidRPr="00895BD1">
              <w:rPr>
                <w:rFonts w:ascii="Times New Roman" w:hAnsi="Times New Roman"/>
                <w:b/>
                <w:sz w:val="24"/>
                <w:szCs w:val="24"/>
              </w:rPr>
              <w:t>Цена за 1-ну ед. с НДС, руб. (НДС не облагается)</w:t>
            </w:r>
          </w:p>
        </w:tc>
        <w:tc>
          <w:tcPr>
            <w:tcW w:w="394" w:type="pct"/>
            <w:vAlign w:val="center"/>
          </w:tcPr>
          <w:p w:rsidR="00A7653F" w:rsidRPr="00895BD1" w:rsidRDefault="00A7653F" w:rsidP="000F1AEB">
            <w:pPr>
              <w:spacing w:after="0" w:line="360" w:lineRule="exact"/>
              <w:jc w:val="center"/>
              <w:rPr>
                <w:rFonts w:ascii="Times New Roman" w:hAnsi="Times New Roman"/>
                <w:b/>
                <w:sz w:val="24"/>
                <w:szCs w:val="24"/>
                <w:lang w:val="en-US"/>
              </w:rPr>
            </w:pPr>
            <w:r w:rsidRPr="00895BD1">
              <w:rPr>
                <w:rFonts w:ascii="Times New Roman" w:hAnsi="Times New Roman"/>
                <w:b/>
                <w:sz w:val="24"/>
                <w:szCs w:val="24"/>
              </w:rPr>
              <w:t>Сумма НДС руб.</w:t>
            </w:r>
          </w:p>
        </w:tc>
        <w:tc>
          <w:tcPr>
            <w:tcW w:w="791" w:type="pct"/>
            <w:vAlign w:val="center"/>
          </w:tcPr>
          <w:p w:rsidR="00A7653F" w:rsidRPr="00895BD1" w:rsidRDefault="00A7653F" w:rsidP="000F1AEB">
            <w:pPr>
              <w:spacing w:after="0" w:line="360" w:lineRule="exact"/>
              <w:rPr>
                <w:rFonts w:ascii="Times New Roman" w:hAnsi="Times New Roman"/>
                <w:b/>
                <w:sz w:val="24"/>
                <w:szCs w:val="24"/>
              </w:rPr>
            </w:pPr>
            <w:r w:rsidRPr="00895BD1">
              <w:rPr>
                <w:rFonts w:ascii="Times New Roman" w:hAnsi="Times New Roman"/>
                <w:b/>
                <w:sz w:val="24"/>
                <w:szCs w:val="24"/>
              </w:rPr>
              <w:t>Всего, с учетом НДС (без НДС), руб./ Всего не может превышать, с учетом НДС (без НДС), руб.</w:t>
            </w:r>
          </w:p>
        </w:tc>
        <w:tc>
          <w:tcPr>
            <w:tcW w:w="459" w:type="pct"/>
            <w:vAlign w:val="center"/>
          </w:tcPr>
          <w:p w:rsidR="00A7653F" w:rsidRPr="00895BD1" w:rsidRDefault="00A7653F" w:rsidP="000F1AEB">
            <w:pPr>
              <w:spacing w:after="0" w:line="360" w:lineRule="exact"/>
              <w:rPr>
                <w:rFonts w:ascii="Times New Roman" w:hAnsi="Times New Roman"/>
                <w:b/>
                <w:sz w:val="24"/>
                <w:szCs w:val="24"/>
              </w:rPr>
            </w:pPr>
            <w:r w:rsidRPr="00895BD1">
              <w:rPr>
                <w:rFonts w:ascii="Times New Roman" w:hAnsi="Times New Roman"/>
                <w:b/>
                <w:sz w:val="24"/>
                <w:szCs w:val="24"/>
              </w:rPr>
              <w:t>Результат</w:t>
            </w:r>
          </w:p>
        </w:tc>
      </w:tr>
      <w:tr w:rsidR="00A7653F" w:rsidRPr="004B2AED" w:rsidTr="00F06403">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Исполнителя/Подрядчика:</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C964C5">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proofErr w:type="spellStart"/>
            <w:r w:rsidR="00C964C5">
              <w:rPr>
                <w:rFonts w:ascii="Times New Roman" w:hAnsi="Times New Roman"/>
                <w:sz w:val="24"/>
                <w:szCs w:val="24"/>
              </w:rPr>
              <w:t>Гейдешман</w:t>
            </w:r>
            <w:proofErr w:type="spellEnd"/>
            <w:r w:rsidR="00C964C5">
              <w:rPr>
                <w:rFonts w:ascii="Times New Roman" w:hAnsi="Times New Roman"/>
                <w:sz w:val="24"/>
                <w:szCs w:val="24"/>
              </w:rPr>
              <w:t xml:space="preserve"> Е.С.</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spacing w:after="0" w:line="360" w:lineRule="exact"/>
        <w:ind w:firstLine="709"/>
        <w:jc w:val="both"/>
        <w:rPr>
          <w:rFonts w:ascii="Times New Roman"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Гейдешман Е.С.</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77" w:rsidRDefault="006E4F77" w:rsidP="00A7653F">
      <w:pPr>
        <w:spacing w:after="0" w:line="240" w:lineRule="auto"/>
      </w:pPr>
      <w:r>
        <w:separator/>
      </w:r>
    </w:p>
  </w:endnote>
  <w:endnote w:type="continuationSeparator" w:id="0">
    <w:p w:rsidR="006E4F77" w:rsidRDefault="006E4F77"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77" w:rsidRDefault="006E4F77" w:rsidP="00A7653F">
      <w:pPr>
        <w:spacing w:after="0" w:line="240" w:lineRule="auto"/>
      </w:pPr>
      <w:r>
        <w:separator/>
      </w:r>
    </w:p>
  </w:footnote>
  <w:footnote w:type="continuationSeparator" w:id="0">
    <w:p w:rsidR="006E4F77" w:rsidRDefault="006E4F77"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122B53"/>
    <w:rsid w:val="00242769"/>
    <w:rsid w:val="00493F68"/>
    <w:rsid w:val="004F10BE"/>
    <w:rsid w:val="006A5417"/>
    <w:rsid w:val="006C0F80"/>
    <w:rsid w:val="006E4F77"/>
    <w:rsid w:val="007B659D"/>
    <w:rsid w:val="00895BD1"/>
    <w:rsid w:val="008F7BA0"/>
    <w:rsid w:val="009106AA"/>
    <w:rsid w:val="00924E95"/>
    <w:rsid w:val="0093400D"/>
    <w:rsid w:val="00A064B7"/>
    <w:rsid w:val="00A7653F"/>
    <w:rsid w:val="00C514BE"/>
    <w:rsid w:val="00C964C5"/>
    <w:rsid w:val="00CE003C"/>
    <w:rsid w:val="00D40A7A"/>
    <w:rsid w:val="00DF7D28"/>
    <w:rsid w:val="00E62671"/>
    <w:rsid w:val="00E97AAD"/>
    <w:rsid w:val="00ED0493"/>
    <w:rsid w:val="00F0640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2022-12-14T09:43:00Z</dcterms:created>
  <dcterms:modified xsi:type="dcterms:W3CDTF">2022-12-14T09:57:00Z</dcterms:modified>
</cp:coreProperties>
</file>